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Biophysical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F1288">
              <w:rPr>
                <w:rFonts w:asciiTheme="majorHAnsi" w:hAnsiTheme="majorHAnsi" w:cs="Arial"/>
                <w:b/>
                <w:sz w:val="18"/>
                <w:szCs w:val="18"/>
              </w:rPr>
              <w:t>BFC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4F0">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4F0">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AB742C">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541A4C">
                    <w:rPr>
                      <w:rFonts w:asciiTheme="majorHAnsi" w:hAnsiTheme="majorHAnsi" w:cs="Arial"/>
                      <w:b/>
                      <w:sz w:val="18"/>
                      <w:szCs w:val="18"/>
                    </w:rPr>
                  </w:r>
                  <w:r w:rsidR="00541A4C">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Pr>
                <w:rFonts w:asciiTheme="majorHAnsi" w:hAnsiTheme="majorHAnsi"/>
                <w:b/>
                <w:sz w:val="18"/>
                <w:szCs w:val="18"/>
              </w:rPr>
              <w:t>83,86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24F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B742C" w:rsidP="003824F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Pr>
                <w:rFonts w:asciiTheme="majorHAnsi" w:hAnsiTheme="majorHAnsi" w:cs="Arial"/>
                <w:b/>
                <w:sz w:val="18"/>
                <w:szCs w:val="18"/>
              </w:rPr>
              <w:t>117,61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AB742C"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3824F0">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AB742C"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4F0" w:rsidRPr="003824F0">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 xml:space="preserve">Chemistry / Chemistry / Specialization: Medicinal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AB742C" w:rsidP="005575A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575A2" w:rsidRPr="005575A2">
              <w:rPr>
                <w:rFonts w:asciiTheme="majorHAnsi" w:hAnsiTheme="majorHAnsi" w:cs="Arial"/>
                <w:b/>
                <w:sz w:val="18"/>
                <w:szCs w:val="18"/>
              </w:rPr>
              <w:t>Amra Bratovčić,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 xml:space="preserve">As our understanding of life has grown, it has become increasingly important to quantify the behavior of biological systems. Such characterization not only enables us to explain in greater detail how these systems function, but also allows </w:t>
            </w:r>
            <w:r w:rsidR="003824F0" w:rsidRPr="003824F0">
              <w:rPr>
                <w:rFonts w:asciiTheme="majorHAnsi" w:hAnsiTheme="majorHAnsi" w:cs="Arial"/>
                <w:b/>
                <w:sz w:val="18"/>
                <w:szCs w:val="18"/>
              </w:rPr>
              <w:lastRenderedPageBreak/>
              <w:t>us to intervene when something goes wrong. The fundamental principles governing life are the same as those governing chemistry: thermodynamics, kinetics, and quantum mechanics. Through the planned course content, it will be examined how these physical principles apply to the chemistry of life. Upon completion of the course, students will understand how to use physical chemistry to study a wide range of reactions within the living cell.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Upon completion of the course, the student should be able to:</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consider the various interactions that are important for the formation of structures in biological systems and how thermodynamic parameters can be measured.</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consider the basic concepts of statistical thermodynamics and molecular simulations and apply them to macromolecular systems.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consider the structures and functions of biological membranes, as well as model systems and relevant methods for studying these structures and functions.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explain and apply methods for determining the functional molecular mass of biological macromolecules in solution, as well as for determining equilibrium constants and rates of macromolecule–ligand interactions.</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consider and apply spectroscopic methods for studying structures and functions in biological systems.</w:t>
            </w:r>
            <w:r w:rsidR="00FB48B6" w:rsidRPr="00B96B4F">
              <w:rPr>
                <w:rFonts w:asciiTheme="majorHAnsi" w:hAnsiTheme="majorHAnsi" w:cs="Arial"/>
                <w:b/>
                <w:sz w:val="18"/>
                <w:szCs w:val="18"/>
              </w:rPr>
              <w:t>    </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Structure of biological macromolecules.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Thermodynamics with particular application to biological systems, macromolecules in solution, conformational equilibria, membrane equilibria, ligand binding, and cooperativity.</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Microcalorimetry.</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Methods for studying equilibrium and the kinetics of association–dissociation processes.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Membrane proteins and membrane transport.</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Spectroscopic methods: UV–Vis and fluorescence, EPR, ESR, and NMR related to biochemistry.</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Physical methods for studying interactions between biological macromolecules.</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Transport processes of importance for biological systems and experimental biochemistry. Determination of functional molecular mass in solution using scattering and sedimentation methods. Molecular dynamics and Monte Carlo simulation.</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 Lectures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Seminar papers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Professional study visits</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Consultations</w:t>
            </w:r>
            <w:r w:rsidR="00FB48B6" w:rsidRPr="00B96B4F">
              <w:rPr>
                <w:rFonts w:asciiTheme="majorHAnsi" w:hAnsiTheme="majorHAnsi" w:cs="Arial"/>
                <w:b/>
                <w:sz w:val="18"/>
                <w:szCs w:val="18"/>
              </w:rPr>
              <w:t>    </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During the course, the student is required to take one midterm exam from the theoretical part and complete one seminar paper.</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Students who have passed Test I and successfully defended the seminar paper from the theoretical part with the maximum number of points will have their grade recorded by the course instructor in the index upon completion of all course obligations (signature of the course instructor in the index).</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The final exam is taken by all students who are not satisfied with their pre-exam performance or with their grade, and who have completed all course requirements (i.e., have the course instructor’s signature in the index).</w:t>
            </w:r>
            <w:r w:rsidR="00FB48B6" w:rsidRPr="00B96B4F">
              <w:rPr>
                <w:rFonts w:asciiTheme="majorHAnsi" w:hAnsiTheme="majorHAnsi" w:cs="Arial"/>
                <w:b/>
                <w:sz w:val="18"/>
                <w:szCs w:val="18"/>
              </w:rPr>
              <w:t>     </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The final grade is based on the total number of points a student has earned through pre-exam obligations and the final exam, reflecting the quality of acquired knowledge and skills, and amounts to a maximum of 100 points. It is determined according to the following scale:</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Attendance and participation in lectures: 5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Test (theoretical part): 30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Seminar paper: 15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Final exam: 50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xml:space="preserve"> </w:t>
            </w:r>
            <w:r>
              <w:rPr>
                <w:rFonts w:asciiTheme="majorHAnsi" w:hAnsiTheme="majorHAnsi" w:cs="Arial"/>
                <w:b/>
                <w:sz w:val="18"/>
                <w:szCs w:val="18"/>
              </w:rPr>
              <w:t>___________________________________</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Grade six (6): 55–64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Grade seven (7): 65–74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Grade eight (8): 75–84 points</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Grade nine (9): 85–94 points</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24F0" w:rsidRPr="003824F0" w:rsidRDefault="00AB742C" w:rsidP="003824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4F0" w:rsidRPr="003824F0">
              <w:rPr>
                <w:rFonts w:asciiTheme="majorHAnsi" w:hAnsiTheme="majorHAnsi" w:cs="Arial"/>
                <w:b/>
                <w:sz w:val="18"/>
                <w:szCs w:val="18"/>
              </w:rPr>
              <w:t>- Physical Chemistry: Principl es and Applications in the Biological Sciences (5 th ed.) by Tinoco, Sauer, Wang, Puglisi, Harbison, and Rovnyak (2013, Prentice-Hall, Inc., ISBN 978-0-1-3605606-5)</w:t>
            </w:r>
          </w:p>
          <w:p w:rsidR="003824F0" w:rsidRPr="003824F0"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xml:space="preserve">- Van Holde, Kensal Edward; Johnson, W. Curtis; Ho, Pui Shing, Principles of physical biochemistry, 2. ed.: Upper Saddle </w:t>
            </w:r>
            <w:r w:rsidRPr="003824F0">
              <w:rPr>
                <w:rFonts w:asciiTheme="majorHAnsi" w:hAnsiTheme="majorHAnsi" w:cs="Arial"/>
                <w:b/>
                <w:sz w:val="18"/>
                <w:szCs w:val="18"/>
              </w:rPr>
              <w:lastRenderedPageBreak/>
              <w:t xml:space="preserve">River, N.J.: Pearson Education International/Prentice Hall, cop. 2006 </w:t>
            </w:r>
          </w:p>
          <w:p w:rsidR="00CB72ED" w:rsidRPr="00B96B4F" w:rsidRDefault="003824F0" w:rsidP="003824F0">
            <w:pPr>
              <w:pStyle w:val="NoSpacing"/>
              <w:rPr>
                <w:rFonts w:asciiTheme="majorHAnsi" w:hAnsiTheme="majorHAnsi" w:cs="Arial"/>
                <w:b/>
                <w:sz w:val="18"/>
                <w:szCs w:val="18"/>
              </w:rPr>
            </w:pPr>
            <w:r w:rsidRPr="003824F0">
              <w:rPr>
                <w:rFonts w:asciiTheme="majorHAnsi" w:hAnsiTheme="majorHAnsi" w:cs="Arial"/>
                <w:b/>
                <w:sz w:val="18"/>
                <w:szCs w:val="18"/>
              </w:rPr>
              <w:t>- Nelson, David L.; Cox, Michael M., Lehninger principles of biochemistry, Seventh, international edition.: New York, NY: W.H. Freeman, [2017]</w:t>
            </w:r>
            <w:r w:rsidR="00AB742C"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B742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4F0">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B742C" w:rsidP="00373BC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24F0">
              <w:rPr>
                <w:rFonts w:asciiTheme="majorHAnsi" w:hAnsiTheme="majorHAnsi" w:cs="Arial"/>
                <w:b/>
                <w:sz w:val="18"/>
                <w:szCs w:val="18"/>
              </w:rPr>
              <w:t>202</w:t>
            </w:r>
            <w:r w:rsidR="00373BCC">
              <w:rPr>
                <w:rFonts w:asciiTheme="majorHAnsi" w:hAnsiTheme="majorHAnsi" w:cs="Arial"/>
                <w:b/>
                <w:sz w:val="18"/>
                <w:szCs w:val="18"/>
              </w:rPr>
              <w:t>4</w:t>
            </w:r>
            <w:r w:rsidR="003824F0">
              <w:rPr>
                <w:rFonts w:asciiTheme="majorHAnsi" w:hAnsiTheme="majorHAnsi" w:cs="Arial"/>
                <w:b/>
                <w:sz w:val="18"/>
                <w:szCs w:val="18"/>
              </w:rPr>
              <w:t>/2</w:t>
            </w:r>
            <w:r w:rsidR="00373BCC">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AB742C">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1F1288">
              <w:rPr>
                <w:rFonts w:asciiTheme="majorHAnsi" w:hAnsiTheme="majorHAnsi" w:cs="Arial"/>
                <w:b/>
                <w:spacing w:val="215"/>
                <w:sz w:val="18"/>
                <w:szCs w:val="18"/>
              </w:rPr>
              <w:t>    </w:t>
            </w:r>
            <w:r w:rsidR="00FB48B6" w:rsidRPr="001F1288">
              <w:rPr>
                <w:rFonts w:asciiTheme="majorHAnsi" w:hAnsiTheme="majorHAnsi" w:cs="Arial"/>
                <w:b/>
                <w:spacing w:val="3"/>
                <w:sz w:val="18"/>
                <w:szCs w:val="18"/>
              </w:rPr>
              <w:t> </w:t>
            </w:r>
            <w:r w:rsidRPr="001F1288">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A4C" w:rsidRDefault="00541A4C">
      <w:pPr>
        <w:spacing w:line="240" w:lineRule="auto"/>
      </w:pPr>
      <w:r>
        <w:separator/>
      </w:r>
    </w:p>
  </w:endnote>
  <w:endnote w:type="continuationSeparator" w:id="0">
    <w:p w:rsidR="00541A4C" w:rsidRDefault="00541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AB742C">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F1288">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AB742C">
            <w:rPr>
              <w:rFonts w:ascii="Cambria" w:hAnsi="Cambria" w:cs="Calibri"/>
              <w:sz w:val="16"/>
              <w:szCs w:val="16"/>
            </w:rPr>
            <w:fldChar w:fldCharType="begin"/>
          </w:r>
          <w:r w:rsidR="00FB48B6">
            <w:rPr>
              <w:rFonts w:ascii="Cambria" w:hAnsi="Cambria" w:cs="Calibri"/>
              <w:sz w:val="16"/>
              <w:szCs w:val="16"/>
            </w:rPr>
            <w:instrText xml:space="preserve"> PAGE </w:instrText>
          </w:r>
          <w:r w:rsidR="00AB742C">
            <w:rPr>
              <w:rFonts w:ascii="Cambria" w:hAnsi="Cambria" w:cs="Calibri"/>
              <w:sz w:val="16"/>
              <w:szCs w:val="16"/>
            </w:rPr>
            <w:fldChar w:fldCharType="separate"/>
          </w:r>
          <w:r w:rsidR="001F1288">
            <w:rPr>
              <w:rFonts w:ascii="Cambria" w:hAnsi="Cambria" w:cs="Calibri"/>
              <w:noProof/>
              <w:sz w:val="16"/>
              <w:szCs w:val="16"/>
            </w:rPr>
            <w:t>1</w:t>
          </w:r>
          <w:r w:rsidR="00AB742C">
            <w:rPr>
              <w:rFonts w:ascii="Cambria" w:hAnsi="Cambria" w:cs="Calibri"/>
              <w:sz w:val="16"/>
              <w:szCs w:val="16"/>
            </w:rPr>
            <w:fldChar w:fldCharType="end"/>
          </w:r>
          <w:r w:rsidR="00FB48B6">
            <w:rPr>
              <w:rFonts w:ascii="Cambria" w:hAnsi="Cambria" w:cs="Calibri"/>
              <w:sz w:val="16"/>
              <w:szCs w:val="16"/>
            </w:rPr>
            <w:t>/</w:t>
          </w:r>
          <w:r w:rsidR="00AB742C">
            <w:rPr>
              <w:rFonts w:ascii="Cambria" w:hAnsi="Cambria" w:cs="Calibri"/>
              <w:sz w:val="16"/>
              <w:szCs w:val="16"/>
            </w:rPr>
            <w:fldChar w:fldCharType="begin"/>
          </w:r>
          <w:r w:rsidR="00FB48B6">
            <w:rPr>
              <w:rFonts w:ascii="Cambria" w:hAnsi="Cambria" w:cs="Calibri"/>
              <w:sz w:val="16"/>
              <w:szCs w:val="16"/>
            </w:rPr>
            <w:instrText xml:space="preserve"> NUMPAGES  </w:instrText>
          </w:r>
          <w:r w:rsidR="00AB742C">
            <w:rPr>
              <w:rFonts w:ascii="Cambria" w:hAnsi="Cambria" w:cs="Calibri"/>
              <w:sz w:val="16"/>
              <w:szCs w:val="16"/>
            </w:rPr>
            <w:fldChar w:fldCharType="separate"/>
          </w:r>
          <w:r w:rsidR="001F1288">
            <w:rPr>
              <w:rFonts w:ascii="Cambria" w:hAnsi="Cambria" w:cs="Calibri"/>
              <w:noProof/>
              <w:sz w:val="16"/>
              <w:szCs w:val="16"/>
            </w:rPr>
            <w:t>3</w:t>
          </w:r>
          <w:r w:rsidR="00AB742C">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A4C" w:rsidRDefault="00541A4C">
      <w:pPr>
        <w:spacing w:after="0"/>
      </w:pPr>
      <w:r>
        <w:separator/>
      </w:r>
    </w:p>
  </w:footnote>
  <w:footnote w:type="continuationSeparator" w:id="0">
    <w:p w:rsidR="00541A4C" w:rsidRDefault="00541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1288"/>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3BCC"/>
    <w:rsid w:val="00374531"/>
    <w:rsid w:val="00375FDE"/>
    <w:rsid w:val="00376A9C"/>
    <w:rsid w:val="003824F0"/>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5887"/>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347FB"/>
    <w:rsid w:val="00541A4C"/>
    <w:rsid w:val="00541C17"/>
    <w:rsid w:val="005443B1"/>
    <w:rsid w:val="00546F6E"/>
    <w:rsid w:val="00552AE0"/>
    <w:rsid w:val="0055354F"/>
    <w:rsid w:val="005575A2"/>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3C6"/>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B742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56F11"/>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68BA"/>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E80EF"/>
  <w15:docId w15:val="{1959E831-7474-40C2-8F21-88D5FEB2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C371-1A4C-48A4-9DCF-32D67DFB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8</cp:revision>
  <cp:lastPrinted>2024-03-25T13:56:00Z</cp:lastPrinted>
  <dcterms:created xsi:type="dcterms:W3CDTF">2026-04-24T10:31:00Z</dcterms:created>
  <dcterms:modified xsi:type="dcterms:W3CDTF">2026-04-27T11:21:00Z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